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Nákup pod jednou střechou: Poradenství na míru a kompletní řada řešení</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dokonalý partner pro energetickou transformaci.</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2" w:name="_Hlk182206473"/>
      <w:r>
        <w:rPr>
          <w:rFonts w:ascii="Inter 28pt" w:hAnsi="Inter 28pt"/>
          <w:b/>
          <w:sz w:val="24"/>
        </w:rPr>
        <w:t>Kromě komplexní řady plně elektrických vozidel nabízí společnost DAF Trucks množství služeb, které podporují provozovatele v procesu energetické transformace. To zahrnuje od nabídky specifických školicích kurzů pro řidiče až po financování na míru, od dodávek nabíjecích stanic a systémů řízení energie až po specializované služby v rámci online platformy pro správu vozového parku PACCAR Connect. Energetická transformace zahrnuje více než nákup vozidel DAF XB, XD nebo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Všichni prodejci v Evropě: Středisko elektrických nákladních vozidel DAF</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Plně vyškolení a vybavení</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Dostupnost veřejných nabíjecích stanic</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Prvotřídní systémy pro vynikající specifikace vozidla</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Prodejní nástroj TOPEC také nabízí simulace a plány tras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RD online konfigurátor nákladních vozidel</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Široký sortiment nabíjecích stanic PACCAR o výkonu 20 až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Poradenství a implementace mikrosítí se systémy ukládání kabeláže baterií</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Rozsáhlé pokyny pro řidiče při dodání</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Poukazy na konkrétní školení řidičů</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Online systém pro správu vozového parku PACCAR Connect</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Standardní výbava všech modelů DAF XB, XD a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Aktuální stav dodávky a spotřeby energie</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Odkaz na navigaci pro nákladní vozidla DAF s přehledem dostupných veřejných nabíjecích stanic</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Atraktivní sazby pro smlouvy o opravách a údržbě v programu DAF MultiSupport a PACCAR Financial</w:t>
      </w:r>
    </w:p>
    <w:bookmarkEnd w:id="2"/>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V roce 2018 byla společnost DAF prvním evropským výrobcem nákladních vozidel, který na trhu vyráběl plně elektrické nákladní vozidlo, a vyvinula jedinečnou a komplexní sadu služeb, které zákazníkům poskytují nejlepší možnou podporu při přechodu na elektrické vozidlo.</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Středisko DAF Electric Truck Centre</w:t>
      </w:r>
      <w:r>
        <w:rPr>
          <w:rFonts w:ascii="Inter 28pt" w:hAnsi="Inter 28pt"/>
          <w:b/>
          <w:sz w:val="24"/>
        </w:rPr>
        <w:br/>
      </w:r>
      <w:r>
        <w:rPr>
          <w:rFonts w:ascii="Inter 28pt" w:hAnsi="Inter 28pt"/>
          <w:sz w:val="24"/>
        </w:rPr>
        <w:t>Za prvé, všichni prodejci DAF v Evropě byli nyní oficiálně jmenováni střediskem DAF Electric Truck Centre. To znamená, že specializovaní technici a prodejci absolvovali všechna potřebná školení, že dílny jsou plně vybaveny k bezpečnému a profesionálnímu provádění veškerých prací na elektrických nákladních vozidlech a že dostupnost náhradních dílů je regulována. Kromě toho budou mít všichni prodejci DAF veřejnou nabíjecí stanici, kterou mohou využívat zákazníci a kolemjdoucí.</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ideální vozidlo pro všechna použití</w:t>
      </w:r>
      <w:r>
        <w:rPr>
          <w:rFonts w:ascii="Inter 28pt" w:hAnsi="Inter 28pt"/>
          <w:sz w:val="24"/>
        </w:rPr>
        <w:br/>
        <w:t>Pro identifikaci nejvhodnějšího elektrického nákladního vozidla pro konkrétní případ použití používají prodejci DAF systém TOPEC, který zahrnuje všechny dostupné konfigurace a volitelné doplňky vozidel. Tyto informace se kombinují se specifickými provozními potřebami zákazníka a vytvářejí kompletní simulace, které ukazují optimální trasy, jak a kde lze akumulátory nejlépe nabít a kolik energie bude nákladní vozidlo spotřebovávat. SYSTÉM TOPEC je proto důležitým nástrojem pro určení nejlepší konfigurace vozidla pro nejvyšší efektivitu na kilometr. Dopravci, kteří chtějí vědět, co pro ně může řada elektrických vozidel DAF udělat, mohou navštívit webové stránky společnosti DAF. Všechny verze modelů XB, XD a XF Electric byly plně integrovány do online 3D konfigurátoru nákladních vozidel.</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bCs/>
          <w:sz w:val="24"/>
        </w:rPr>
        <w:t>Nabíjecí stanice a mikrosítě na míru</w:t>
      </w:r>
      <w:r>
        <w:rPr>
          <w:rFonts w:ascii="Inter 28pt" w:hAnsi="Inter 28pt"/>
          <w:sz w:val="24"/>
        </w:rPr>
        <w:br/>
        <w:t>Kromě špičkových elektromobilů nabízí společnost DAF také širokou škálu nabíjecích stanic s výkonem od 20 kW do 400 kW a s optimálním řešením pro všechna použití.</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lastRenderedPageBreak/>
        <w:t>K dispozici jsou nabíječky PACCAR s výkonem od 20 kW do 50 kW, které jsou obzvláště vhodné pro nákladní vozidla, která se nabíjejí večer nebo v noci po každodenních jízdách. Nabíječky s výkonem 120 kW a 180 kW jsou určeny pro rychlé nabíjení, takže jsou ideální pro vozové parky, které používají elektrická vozidla na více trasách nebo v několika směnách. Nejvýkonnější nabíječka s výkonem 400 kW dokáže plně nabít vozidla za méně než dvě hodiny nebo dokonce rychle nabít dvě vozidla současně. Mobilní nabíječky s výkonem 24 kW až 40 kW jsou ideální pro dočasné nebo přechodné nabíjení, například pro podporu zkušebního provozu a předvedení vozidel.</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Na žádost zákazníka lze službu dále rozšířit tak, aby zahrnovala doporučení a dokonce i podporu při implementaci rozsáhlé „mikrosítě“, která může zahrnovat solární panely, systém ukládání kabeláže baterií (BESS), pokročilé systémy řízení energie (EMS) a rychlonabíječky. PACCAR Power Solutions začne mapováním položek, jako je velikost vozového parku, nasazení, plány nabíjení, požadavky na špičkovou energii a sazby za energii. Součástí tohoto prvotního šetření je také případný přebytek vlastní výroby elektřiny a kapacita místní sítě.</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Specifické školení řidičů</w:t>
      </w:r>
      <w:r>
        <w:rPr>
          <w:rFonts w:ascii="Inter 28pt" w:hAnsi="Inter 28pt"/>
          <w:b/>
          <w:sz w:val="24"/>
        </w:rPr>
        <w:br/>
      </w:r>
      <w:r>
        <w:rPr>
          <w:rFonts w:ascii="Inter 28pt" w:hAnsi="Inter 28pt"/>
          <w:sz w:val="24"/>
        </w:rPr>
        <w:t>Při dodání elektrického vozidla klade servisní dealer DAF zvláštní důraz na poskytování komplexních pokynů pro řidiče, aby mohli co nejlépe využít každou kWh elektrické energie. Během předání vozidla jsou podrobně vysvětleny všechny funkce elektrického nákladního vozidla, přičemž zvláštní pozornost je věnována startování, jízdě a používání a nabíjení akumulátorů vozidla.</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Zákazníci a řidiči mohou navíc využít poukázku na školení řidičů DAF k maximalizaci energetické účinnosti vozu DAF Electric. Během školení jsou poskytovány rady ohledně výběru správné doby pro nabíjení akumulátorů, optimalizace využití rekuperačního brzdění a maximalizace setrvačné jízdy nákladního vozidla. To vše s cílem dosáhnout maximální efektivity přepravy.</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 xml:space="preserve">Všechna plně elektrická nákladní vozidla DAF jsou samozřejmě také připojena k nové </w:t>
      </w:r>
      <w:r>
        <w:rPr>
          <w:rFonts w:ascii="Inter 28pt" w:hAnsi="Inter 28pt"/>
          <w:sz w:val="24"/>
        </w:rPr>
        <w:lastRenderedPageBreak/>
        <w:t>online platformě pro správu vozového parku PACCAR Connect, která umožňuje 24 hodin denně sledovat výkon vozidel a řidičů. Systém PACCAR Connect pomáhá optimalizovat ziskovost společnosti.</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Jednou z hlavních výhod systému PACCAR Connect je, že stávající logistické aplikace třetích stran mohou využívat data z online portálu. Díky tomu je snadné sledovat všechny logistické procesy a výkonnost vozového parku z počítače, notebooku nebo dokonce tabletu. Mezi specifické funkce elektrických nákladních vozidel patří zprávy o aktuální spotřebě elektrické energie, aktuálním stavu baterie a zbývajícím dojezdu, které jsou důležité pro efektivní plánování trasy.</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Systém PACCAR Connect také pomáhá řidičům usnadnit a zefektivnit práci. Mobilní služby PACCAR Connect jsou propojeny se systémem DAF Truck Navigation. To znamená, že nové trasy, které jsou stanoveny podle domácí základny, lze snadno a přímo přeposílat do systému DAF Truck Navigation. Dostupné veřejné nabíjecí stanice jsou také viditelné na první pohled.</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Pro elektrické nákladní vozy je k dispozici také volitelný modul Stav vozidla, který poskytuje domácí základně přehled o stavu vozidla – včetně aktuálních zpráv na palubní desce a indikace, kdy očekávat další servisní prohlídku.</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„DAF Transport Efficiency – váš zisk, náš cíl,“ shrnuje to Bart Bosmans, člen představenstva společnosti DAF a zodpovědný za marketing a prodej. „To platí také pro širokou škálu nákladních vozidel a služeb, které nabízíme, abychom co nejvíce podpořili naše zákazníky v jejich energetické transformaci. To zahrnuje například atraktivní sazby pro smlouvy o opravách a údržbě programu DAF MultiSupport a financování prostřednictvím PACCAR Financial.</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 dceřiná společnost společnosti PACCAR Inc, globální technologické společnosti, která konstruuje a vyrábí lehká, středně těžká a těžká nákladní vozidla. Společnost DAF vyrábí kompletní řadu tahačů a podvozků a dokáže nabídnout správné vozidlo pro každou přepravní aplikaci. Společnost DAF patří také ke špičce v oblasti služeb k produktům. Nabízí například smlouvy na opravy a údržbu MultiSupport, finanční služby od společnosti PACCAR Financial a prvotřídní služby v oblasti dodávek náhradních dílů od společnosti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září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Poznámka pro editory</w:t>
      </w:r>
    </w:p>
    <w:p w14:paraId="0B0C1189" w14:textId="77777777" w:rsidR="00702C26" w:rsidRPr="000D7807" w:rsidRDefault="00702C26" w:rsidP="00702C26">
      <w:pPr>
        <w:rPr>
          <w:rFonts w:ascii="Inter 28pt" w:hAnsi="Inter 28pt" w:cs="Arial"/>
          <w:sz w:val="24"/>
        </w:rPr>
      </w:pPr>
      <w:r>
        <w:rPr>
          <w:rFonts w:ascii="Inter 28pt" w:hAnsi="Inter 28pt"/>
          <w:sz w:val="24"/>
        </w:rPr>
        <w:t>Další informace:</w:t>
      </w:r>
    </w:p>
    <w:p w14:paraId="6909708F" w14:textId="77777777" w:rsidR="00702C26" w:rsidRPr="000D7807" w:rsidRDefault="00702C26" w:rsidP="00702C26">
      <w:pPr>
        <w:rPr>
          <w:rFonts w:ascii="Inter 28pt" w:hAnsi="Inter 28pt" w:cs="Arial"/>
          <w:sz w:val="24"/>
        </w:rPr>
      </w:pPr>
      <w:r>
        <w:rPr>
          <w:rFonts w:ascii="Inter 28pt" w:hAnsi="Inter 28pt"/>
          <w:sz w:val="24"/>
        </w:rPr>
        <w:t>Společnost DAF Trucks N.V.</w:t>
      </w:r>
    </w:p>
    <w:p w14:paraId="2A301C34" w14:textId="77777777" w:rsidR="00702C26" w:rsidRPr="000D7807" w:rsidRDefault="00702C26" w:rsidP="00702C26">
      <w:pPr>
        <w:rPr>
          <w:rFonts w:ascii="Inter 28pt" w:hAnsi="Inter 28pt" w:cs="Arial"/>
          <w:sz w:val="24"/>
        </w:rPr>
      </w:pPr>
      <w:r>
        <w:rPr>
          <w:rFonts w:ascii="Inter 28pt" w:hAnsi="Inter 28pt"/>
          <w:sz w:val="24"/>
        </w:rPr>
        <w:t>Corporate Communication Department</w:t>
      </w:r>
    </w:p>
    <w:p w14:paraId="12B6D335" w14:textId="77777777" w:rsidR="00702C26" w:rsidRPr="000D7807" w:rsidRDefault="00702C26" w:rsidP="00702C26">
      <w:pPr>
        <w:rPr>
          <w:rFonts w:ascii="Inter 28pt" w:hAnsi="Inter 28pt" w:cs="Arial"/>
          <w:sz w:val="24"/>
        </w:rPr>
      </w:pPr>
      <w:r>
        <w:rPr>
          <w:rFonts w:ascii="Inter 28pt" w:hAnsi="Inter 28pt"/>
          <w:sz w:val="24"/>
        </w:rPr>
        <w:t>Rutger Kerstiens, +31 (0)40 214 2874</w:t>
      </w:r>
    </w:p>
    <w:p w14:paraId="2771BE45" w14:textId="2B6874D9" w:rsidR="005C3F0B" w:rsidRDefault="00702C26" w:rsidP="00BE5C36">
      <w:pPr>
        <w:spacing w:line="276" w:lineRule="auto"/>
      </w:pPr>
      <w:hyperlink r:id="rId13" w:history="1">
        <w:r>
          <w:rPr>
            <w:rStyle w:val="Hyperlink"/>
            <w:rFonts w:ascii="Inter 28pt" w:hAnsi="Inter 28pt"/>
            <w:sz w:val="24"/>
          </w:rPr>
          <w:t>www.daf.com</w:t>
        </w:r>
      </w:hyperlink>
    </w:p>
    <w:p w14:paraId="6929663C" w14:textId="77777777" w:rsidR="007821D0" w:rsidRDefault="007821D0" w:rsidP="00BE5C36">
      <w:pPr>
        <w:spacing w:line="276" w:lineRule="auto"/>
      </w:pPr>
    </w:p>
    <w:p w14:paraId="6FE51FD0" w14:textId="77777777" w:rsidR="007821D0" w:rsidRPr="007821D0" w:rsidRDefault="007821D0" w:rsidP="007821D0">
      <w:pPr>
        <w:rPr>
          <w:rFonts w:ascii="Inter 28pt" w:hAnsi="Inter 28pt"/>
          <w:sz w:val="24"/>
        </w:rPr>
      </w:pPr>
      <w:r w:rsidRPr="007821D0">
        <w:rPr>
          <w:rFonts w:ascii="Inter 28pt" w:hAnsi="Inter 28pt"/>
          <w:sz w:val="24"/>
        </w:rPr>
        <w:t>DAF Trucks CZ, s.r.o.</w:t>
      </w:r>
    </w:p>
    <w:p w14:paraId="440267CC" w14:textId="77777777" w:rsidR="007821D0" w:rsidRPr="007821D0" w:rsidRDefault="007821D0" w:rsidP="007821D0">
      <w:pPr>
        <w:rPr>
          <w:rFonts w:ascii="Inter 28pt" w:hAnsi="Inter 28pt"/>
          <w:sz w:val="24"/>
        </w:rPr>
      </w:pPr>
      <w:r w:rsidRPr="007821D0">
        <w:rPr>
          <w:rFonts w:ascii="Inter 28pt" w:hAnsi="Inter 28pt"/>
          <w:sz w:val="24"/>
        </w:rPr>
        <w:t>Oddělení marketingu a PR</w:t>
      </w:r>
    </w:p>
    <w:p w14:paraId="2B54D30E" w14:textId="77777777" w:rsidR="007821D0" w:rsidRPr="007821D0" w:rsidRDefault="007821D0" w:rsidP="007821D0">
      <w:pPr>
        <w:rPr>
          <w:rFonts w:ascii="Inter 28pt" w:hAnsi="Inter 28pt"/>
          <w:sz w:val="24"/>
        </w:rPr>
      </w:pPr>
      <w:r w:rsidRPr="007821D0">
        <w:rPr>
          <w:rFonts w:ascii="Inter 28pt" w:hAnsi="Inter 28pt"/>
          <w:sz w:val="24"/>
        </w:rPr>
        <w:t>Anton Sevryugin, +420 724 562 242</w:t>
      </w:r>
    </w:p>
    <w:p w14:paraId="703180AC" w14:textId="77777777" w:rsidR="007821D0" w:rsidRPr="007821D0" w:rsidRDefault="007821D0" w:rsidP="007821D0">
      <w:pPr>
        <w:rPr>
          <w:rFonts w:ascii="Inter 28pt" w:hAnsi="Inter 28pt"/>
          <w:sz w:val="24"/>
        </w:rPr>
      </w:pPr>
      <w:r w:rsidRPr="007821D0">
        <w:rPr>
          <w:rFonts w:ascii="Inter 28pt" w:hAnsi="Inter 28pt"/>
          <w:sz w:val="24"/>
        </w:rPr>
        <w:t xml:space="preserve">E-mail: </w:t>
      </w:r>
      <w:hyperlink r:id="rId14" w:history="1">
        <w:r w:rsidRPr="007821D0">
          <w:rPr>
            <w:rFonts w:ascii="Inter 28pt" w:hAnsi="Inter 28pt"/>
            <w:color w:val="0000FF" w:themeColor="hyperlink"/>
            <w:sz w:val="24"/>
            <w:u w:val="single"/>
          </w:rPr>
          <w:t>anton.sevryugin@daftrucks.com</w:t>
        </w:r>
      </w:hyperlink>
    </w:p>
    <w:p w14:paraId="3622365A" w14:textId="77777777" w:rsidR="007821D0" w:rsidRPr="007821D0" w:rsidRDefault="007821D0" w:rsidP="007821D0">
      <w:pPr>
        <w:rPr>
          <w:rFonts w:ascii="Inter 28pt" w:hAnsi="Inter 28pt"/>
          <w:sz w:val="24"/>
        </w:rPr>
      </w:pPr>
      <w:r w:rsidRPr="007821D0">
        <w:rPr>
          <w:rFonts w:ascii="Inter 28pt" w:hAnsi="Inter 28pt"/>
          <w:sz w:val="24"/>
        </w:rPr>
        <w:t>www.daftrucks.cz</w:t>
      </w:r>
    </w:p>
    <w:p w14:paraId="6E87F075" w14:textId="77777777" w:rsidR="007821D0" w:rsidRPr="000D7807" w:rsidRDefault="007821D0" w:rsidP="00BE5C36">
      <w:pPr>
        <w:spacing w:line="276" w:lineRule="auto"/>
        <w:rPr>
          <w:rFonts w:ascii="Inter 28pt" w:hAnsi="Inter 28pt"/>
          <w:sz w:val="24"/>
        </w:rPr>
      </w:pPr>
    </w:p>
    <w:sectPr w:rsidR="007821D0" w:rsidRPr="000D7807"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6B02" w14:textId="77777777" w:rsidR="00BF68E6" w:rsidRDefault="00BF68E6" w:rsidP="00BF68E6">
    <w:pPr>
      <w:pStyle w:val="HeaderTextLeft"/>
      <w:framePr w:w="6967" w:h="1265" w:hRule="exact" w:wrap="around" w:x="624" w:y="376"/>
      <w:spacing w:before="120" w:line="420" w:lineRule="exact"/>
      <w:rPr>
        <w:b w:val="0"/>
      </w:rPr>
    </w:pPr>
    <w:bookmarkStart w:id="0" w:name="_Hlk206742817"/>
    <w:bookmarkStart w:id="1" w:name="_Hlk206742818"/>
  </w:p>
  <w:p w14:paraId="2D0CDF47" w14:textId="77777777" w:rsidR="00BF68E6" w:rsidRPr="0077358E" w:rsidRDefault="00BF68E6" w:rsidP="00BF68E6">
    <w:pPr>
      <w:pStyle w:val="HeaderTextLeft"/>
      <w:framePr w:w="6967" w:h="1265" w:hRule="exact" w:wrap="around" w:x="624" w:y="376"/>
      <w:spacing w:line="420" w:lineRule="exact"/>
      <w:rPr>
        <w:b w:val="0"/>
      </w:rPr>
    </w:pPr>
    <w:r>
      <w:rPr>
        <w:b w:val="0"/>
      </w:rPr>
      <w:t>Tisková zpráva</w:t>
    </w:r>
  </w:p>
  <w:tbl>
    <w:tblPr>
      <w:tblW w:w="2553" w:type="dxa"/>
      <w:tblLayout w:type="fixed"/>
      <w:tblCellMar>
        <w:left w:w="0" w:type="dxa"/>
        <w:right w:w="0" w:type="dxa"/>
      </w:tblCellMar>
      <w:tblLook w:val="0000" w:firstRow="0" w:lastRow="0" w:firstColumn="0" w:lastColumn="0" w:noHBand="0" w:noVBand="0"/>
    </w:tblPr>
    <w:tblGrid>
      <w:gridCol w:w="2553"/>
    </w:tblGrid>
    <w:tr w:rsidR="00BF68E6" w14:paraId="2FCB9A98" w14:textId="77777777" w:rsidTr="00A01AD3">
      <w:trPr>
        <w:trHeight w:val="1249"/>
      </w:trPr>
      <w:tc>
        <w:tcPr>
          <w:tcW w:w="2553" w:type="dxa"/>
        </w:tcPr>
        <w:p w14:paraId="61DE7F6E" w14:textId="77777777" w:rsidR="00BF68E6" w:rsidRDefault="00BF68E6" w:rsidP="00BF68E6">
          <w:pPr>
            <w:pStyle w:val="KoptekstLogo"/>
            <w:framePr w:wrap="around"/>
            <w:rPr>
              <w:b w:val="0"/>
            </w:rPr>
          </w:pPr>
          <w:r>
            <w:object w:dxaOrig="12227" w:dyaOrig="5716" w14:anchorId="5319B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0038" r:id="rId2"/>
            </w:object>
          </w:r>
        </w:p>
      </w:tc>
    </w:tr>
    <w:tr w:rsidR="00BF68E6" w:rsidRPr="00C54346" w14:paraId="7CC54B84" w14:textId="77777777" w:rsidTr="00A01AD3">
      <w:trPr>
        <w:trHeight w:hRule="exact" w:val="264"/>
      </w:trPr>
      <w:tc>
        <w:tcPr>
          <w:tcW w:w="2553" w:type="dxa"/>
        </w:tcPr>
        <w:p w14:paraId="30F687D2" w14:textId="77777777" w:rsidR="00BF68E6" w:rsidRDefault="00BF68E6" w:rsidP="00BF68E6">
          <w:pPr>
            <w:pStyle w:val="KoptekstLogoCompanyAddress"/>
            <w:framePr w:wrap="around"/>
          </w:pPr>
          <w:r w:rsidRPr="00DA13FE">
            <w:t>Zděbradská 61</w:t>
          </w:r>
        </w:p>
      </w:tc>
    </w:tr>
    <w:tr w:rsidR="00BF68E6" w14:paraId="6887D48D" w14:textId="77777777" w:rsidTr="00A01AD3">
      <w:trPr>
        <w:trHeight w:hRule="exact" w:val="264"/>
      </w:trPr>
      <w:tc>
        <w:tcPr>
          <w:tcW w:w="2553" w:type="dxa"/>
        </w:tcPr>
        <w:p w14:paraId="37EF0B0D" w14:textId="77777777" w:rsidR="00BF68E6" w:rsidRDefault="00BF68E6" w:rsidP="00BF68E6">
          <w:pPr>
            <w:pStyle w:val="KoptekstLogoCompanyAddress"/>
            <w:framePr w:wrap="around"/>
          </w:pPr>
          <w:r w:rsidRPr="00DA13FE">
            <w:t>Říčany, 251 01</w:t>
          </w:r>
        </w:p>
      </w:tc>
    </w:tr>
    <w:tr w:rsidR="00BF68E6" w14:paraId="0B2E53D2" w14:textId="77777777" w:rsidTr="00A01AD3">
      <w:trPr>
        <w:trHeight w:hRule="exact" w:val="264"/>
      </w:trPr>
      <w:tc>
        <w:tcPr>
          <w:tcW w:w="2553" w:type="dxa"/>
        </w:tcPr>
        <w:p w14:paraId="3DF21577" w14:textId="77777777" w:rsidR="00BF68E6" w:rsidRPr="00021AA0" w:rsidRDefault="00BF68E6" w:rsidP="00BF68E6">
          <w:pPr>
            <w:pStyle w:val="KoptekstLogoCompanyAddress"/>
            <w:framePr w:wrap="around"/>
          </w:pPr>
        </w:p>
      </w:tc>
    </w:tr>
    <w:tr w:rsidR="00BF68E6" w14:paraId="6F7D638A" w14:textId="77777777" w:rsidTr="00A01AD3">
      <w:trPr>
        <w:trHeight w:hRule="exact" w:val="264"/>
      </w:trPr>
      <w:tc>
        <w:tcPr>
          <w:tcW w:w="2553" w:type="dxa"/>
        </w:tcPr>
        <w:p w14:paraId="0B524DC0" w14:textId="77777777" w:rsidR="00BF68E6" w:rsidRDefault="00BF68E6" w:rsidP="00BF68E6">
          <w:pPr>
            <w:pStyle w:val="KoptekstLogoCompanyAddress"/>
            <w:framePr w:wrap="around"/>
          </w:pPr>
        </w:p>
      </w:tc>
    </w:tr>
    <w:tr w:rsidR="00BF68E6" w14:paraId="6A04FBFE" w14:textId="77777777" w:rsidTr="00A01AD3">
      <w:trPr>
        <w:trHeight w:hRule="exact" w:val="264"/>
      </w:trPr>
      <w:tc>
        <w:tcPr>
          <w:tcW w:w="2553" w:type="dxa"/>
        </w:tcPr>
        <w:p w14:paraId="38608617" w14:textId="77777777" w:rsidR="00BF68E6" w:rsidRDefault="00BF68E6" w:rsidP="00BF68E6">
          <w:pPr>
            <w:pStyle w:val="KoptekstLogoCompanyAddress"/>
            <w:framePr w:wrap="around"/>
          </w:pPr>
          <w:r>
            <w:t>Tel : +420 323 626 104</w:t>
          </w:r>
        </w:p>
      </w:tc>
    </w:tr>
    <w:tr w:rsidR="00BF68E6" w14:paraId="3546930D" w14:textId="77777777" w:rsidTr="00A01AD3">
      <w:trPr>
        <w:trHeight w:hRule="exact" w:val="264"/>
      </w:trPr>
      <w:tc>
        <w:tcPr>
          <w:tcW w:w="2553" w:type="dxa"/>
        </w:tcPr>
        <w:p w14:paraId="5C441EBB" w14:textId="77777777" w:rsidR="00BF68E6" w:rsidRDefault="00BF68E6" w:rsidP="00BF68E6">
          <w:pPr>
            <w:pStyle w:val="KoptekstLogoCompanyAddress"/>
            <w:framePr w:wrap="around"/>
          </w:pPr>
          <w:r>
            <w:t xml:space="preserve">Internet: </w:t>
          </w:r>
          <w:hyperlink r:id="rId3" w:history="1">
            <w:r w:rsidRPr="00AC7158">
              <w:rPr>
                <w:rStyle w:val="Hyperlink"/>
              </w:rPr>
              <w:t>www.daf.cz</w:t>
            </w:r>
          </w:hyperlink>
        </w:p>
        <w:p w14:paraId="3C5BD582" w14:textId="77777777" w:rsidR="00BF68E6" w:rsidRDefault="00BF68E6" w:rsidP="00BF68E6">
          <w:pPr>
            <w:pStyle w:val="KoptekstLogoCompanyAddress"/>
            <w:framePr w:wrap="around"/>
          </w:pPr>
        </w:p>
        <w:p w14:paraId="2A1AB372" w14:textId="77777777" w:rsidR="00BF68E6" w:rsidRDefault="00BF68E6" w:rsidP="00BF68E6">
          <w:pPr>
            <w:pStyle w:val="KoptekstLogoCompanyAddress"/>
            <w:framePr w:wrap="around"/>
          </w:pPr>
        </w:p>
        <w:p w14:paraId="5D62E05F" w14:textId="77777777" w:rsidR="00BF68E6" w:rsidRDefault="00BF68E6" w:rsidP="00BF68E6">
          <w:pPr>
            <w:pStyle w:val="KoptekstLogoCompanyAddress"/>
            <w:framePr w:wrap="around"/>
          </w:pPr>
        </w:p>
      </w:tc>
    </w:tr>
    <w:tr w:rsidR="00BF68E6" w14:paraId="3A0657AA" w14:textId="77777777" w:rsidTr="00A01AD3">
      <w:trPr>
        <w:trHeight w:hRule="exact" w:val="264"/>
      </w:trPr>
      <w:tc>
        <w:tcPr>
          <w:tcW w:w="2553" w:type="dxa"/>
        </w:tcPr>
        <w:p w14:paraId="6F841AD5" w14:textId="77777777" w:rsidR="00BF68E6" w:rsidRDefault="00BF68E6" w:rsidP="00BF68E6">
          <w:pPr>
            <w:pStyle w:val="KoptekstLogoCompanyAddress"/>
            <w:framePr w:wrap="around"/>
          </w:pPr>
          <w:r>
            <w:rPr>
              <w:lang w:val="nl-NL"/>
            </w:rPr>
            <w:drawing>
              <wp:inline distT="0" distB="0" distL="0" distR="0" wp14:anchorId="4B5B5A80" wp14:editId="5C81DAFD">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bookmarkEnd w:id="0"/>
    <w:bookmarkEnd w:id="1"/>
  </w:tbl>
  <w:p w14:paraId="205DD905" w14:textId="77777777" w:rsidR="00BF68E6" w:rsidRDefault="00BF68E6" w:rsidP="00BF68E6">
    <w:pPr>
      <w:pStyle w:val="Koptekst"/>
    </w:pPr>
  </w:p>
  <w:p w14:paraId="62D0595B" w14:textId="77777777" w:rsidR="0077358E" w:rsidRPr="00BF68E6" w:rsidRDefault="0077358E" w:rsidP="00BF68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0362"/>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1D0"/>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68E6"/>
    <w:rsid w:val="00BF7110"/>
    <w:rsid w:val="00C0474A"/>
    <w:rsid w:val="00C15D3D"/>
    <w:rsid w:val="00C211C6"/>
    <w:rsid w:val="00C23A03"/>
    <w:rsid w:val="00C25503"/>
    <w:rsid w:val="00C3323E"/>
    <w:rsid w:val="00C33D9C"/>
    <w:rsid w:val="00C3604B"/>
    <w:rsid w:val="00C37940"/>
    <w:rsid w:val="00C5075C"/>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BF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cz"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2A634-DC7C-4509-8281-948937D26684}">
  <ds:schemaRefs>
    <ds:schemaRef ds:uri="http://schemas.microsoft.com/sharepoint/v3/contenttype/forms"/>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F32486F4-98A0-47A9-9CCD-0AA1E1183AEB}">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4.xml><?xml version="1.0" encoding="utf-8"?>
<ds:datastoreItem xmlns:ds="http://schemas.openxmlformats.org/officeDocument/2006/customXml" ds:itemID="{3741DEC8-D8AC-43BD-81A3-BD7D244D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1228</Words>
  <Characters>6758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2024-11-21T09:30:00Z</cp:lastPrinted>
  <dcterms:created xsi:type="dcterms:W3CDTF">2025-08-06T08:56:00Z</dcterms:created>
  <dcterms:modified xsi:type="dcterms:W3CDTF">2025-08-22T07:27:00Z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